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3BC" w:rsidRDefault="00893B4A" w:rsidP="00AC13D8">
      <w:pPr>
        <w:adjustRightInd w:val="0"/>
        <w:snapToGrid w:val="0"/>
        <w:jc w:val="center"/>
        <w:rPr>
          <w:rFonts w:ascii="標楷體" w:eastAsia="標楷體" w:hAnsi="標楷體" w:hint="eastAsia"/>
          <w:b/>
          <w:color w:val="000000"/>
          <w:sz w:val="32"/>
          <w:szCs w:val="36"/>
        </w:rPr>
      </w:pPr>
      <w:r w:rsidRPr="00881F98">
        <w:rPr>
          <w:rFonts w:ascii="標楷體" w:eastAsia="標楷體" w:hAnsi="標楷體" w:hint="eastAsia"/>
          <w:b/>
          <w:color w:val="000000"/>
          <w:sz w:val="32"/>
          <w:szCs w:val="36"/>
        </w:rPr>
        <w:t>臺灣證券交易所股份有限公司</w:t>
      </w:r>
      <w:r w:rsidR="006773BC">
        <w:rPr>
          <w:rFonts w:ascii="標楷體" w:eastAsia="標楷體" w:hAnsi="標楷體" w:hint="eastAsia"/>
          <w:b/>
          <w:color w:val="000000"/>
          <w:sz w:val="32"/>
          <w:szCs w:val="36"/>
        </w:rPr>
        <w:t>證券經紀商</w:t>
      </w:r>
      <w:r w:rsidR="006773BC" w:rsidRPr="006773BC">
        <w:rPr>
          <w:rFonts w:ascii="標楷體" w:eastAsia="標楷體" w:hAnsi="標楷體" w:hint="eastAsia"/>
          <w:b/>
          <w:color w:val="000000"/>
          <w:sz w:val="32"/>
          <w:szCs w:val="36"/>
        </w:rPr>
        <w:t>受託契約準則</w:t>
      </w:r>
    </w:p>
    <w:p w:rsidR="006D0685" w:rsidRPr="00083ABC" w:rsidRDefault="006773BC" w:rsidP="00AC13D8">
      <w:pPr>
        <w:adjustRightInd w:val="0"/>
        <w:snapToGrid w:val="0"/>
        <w:jc w:val="center"/>
        <w:rPr>
          <w:rFonts w:ascii="Times New Roman" w:eastAsia="標楷體" w:hAnsi="Times New Roman"/>
          <w:b/>
          <w:sz w:val="36"/>
          <w:szCs w:val="36"/>
        </w:rPr>
      </w:pPr>
      <w:r w:rsidRPr="006773BC">
        <w:rPr>
          <w:rFonts w:ascii="標楷體" w:eastAsia="標楷體" w:hAnsi="標楷體" w:hint="eastAsia"/>
          <w:b/>
          <w:color w:val="000000"/>
          <w:sz w:val="32"/>
          <w:szCs w:val="36"/>
        </w:rPr>
        <w:t>第二條</w:t>
      </w:r>
      <w:r w:rsidR="00083ABC" w:rsidRPr="00881F98">
        <w:rPr>
          <w:rFonts w:ascii="標楷體" w:eastAsia="標楷體" w:hAnsi="標楷體" w:hint="eastAsia"/>
          <w:b/>
          <w:color w:val="000000"/>
          <w:sz w:val="32"/>
          <w:szCs w:val="36"/>
        </w:rPr>
        <w:t>修正</w:t>
      </w:r>
      <w:r w:rsidR="002F07F5" w:rsidRPr="00881F98">
        <w:rPr>
          <w:rFonts w:ascii="標楷體" w:eastAsia="標楷體" w:hAnsi="標楷體" w:hint="eastAsia"/>
          <w:b/>
          <w:color w:val="000000"/>
          <w:sz w:val="32"/>
          <w:szCs w:val="36"/>
        </w:rPr>
        <w:t>條文</w:t>
      </w:r>
      <w:r w:rsidR="00083ABC" w:rsidRPr="00881F98">
        <w:rPr>
          <w:rFonts w:ascii="標楷體" w:eastAsia="標楷體" w:hAnsi="標楷體" w:hint="eastAsia"/>
          <w:b/>
          <w:color w:val="000000"/>
          <w:sz w:val="32"/>
          <w:szCs w:val="36"/>
        </w:rPr>
        <w:t>對照</w:t>
      </w:r>
      <w:r w:rsidR="00083ABC">
        <w:rPr>
          <w:rFonts w:ascii="標楷體" w:eastAsia="標楷體" w:hAnsi="標楷體" w:hint="eastAsia"/>
          <w:b/>
          <w:color w:val="000000"/>
          <w:sz w:val="36"/>
          <w:szCs w:val="36"/>
        </w:rPr>
        <w:t>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3345"/>
        <w:gridCol w:w="3140"/>
      </w:tblGrid>
      <w:tr w:rsidR="006D0685" w:rsidRPr="00881F98" w:rsidTr="00412A41">
        <w:trPr>
          <w:trHeight w:val="495"/>
          <w:tblHeader/>
          <w:jc w:val="center"/>
        </w:trPr>
        <w:tc>
          <w:tcPr>
            <w:tcW w:w="3369" w:type="dxa"/>
            <w:vAlign w:val="center"/>
          </w:tcPr>
          <w:p w:rsidR="006D0685" w:rsidRPr="00881F98" w:rsidRDefault="006D0685" w:rsidP="00D47A66">
            <w:pPr>
              <w:adjustRightInd w:val="0"/>
              <w:snapToGrid w:val="0"/>
              <w:spacing w:line="240" w:lineRule="auto"/>
              <w:jc w:val="center"/>
              <w:rPr>
                <w:rFonts w:ascii="標楷體" w:eastAsia="標楷體" w:hAnsi="標楷體"/>
                <w:b/>
                <w:color w:val="000000"/>
                <w:szCs w:val="24"/>
              </w:rPr>
            </w:pPr>
            <w:r w:rsidRPr="00881F98">
              <w:rPr>
                <w:rFonts w:ascii="標楷體" w:eastAsia="標楷體" w:hAnsi="標楷體"/>
                <w:b/>
                <w:color w:val="000000"/>
                <w:szCs w:val="24"/>
              </w:rPr>
              <w:t>修正條文</w:t>
            </w:r>
          </w:p>
        </w:tc>
        <w:tc>
          <w:tcPr>
            <w:tcW w:w="3345" w:type="dxa"/>
            <w:vAlign w:val="center"/>
          </w:tcPr>
          <w:p w:rsidR="006D0685" w:rsidRPr="00881F98" w:rsidRDefault="006D0685" w:rsidP="00D47A66">
            <w:pPr>
              <w:adjustRightInd w:val="0"/>
              <w:snapToGrid w:val="0"/>
              <w:spacing w:line="240" w:lineRule="auto"/>
              <w:jc w:val="center"/>
              <w:rPr>
                <w:rFonts w:ascii="標楷體" w:eastAsia="標楷體" w:hAnsi="標楷體"/>
                <w:b/>
                <w:color w:val="000000"/>
                <w:szCs w:val="24"/>
              </w:rPr>
            </w:pPr>
            <w:r w:rsidRPr="00881F98">
              <w:rPr>
                <w:rFonts w:ascii="標楷體" w:eastAsia="標楷體" w:hAnsi="標楷體"/>
                <w:b/>
                <w:color w:val="000000"/>
                <w:szCs w:val="24"/>
              </w:rPr>
              <w:t>現行條文</w:t>
            </w:r>
          </w:p>
        </w:tc>
        <w:tc>
          <w:tcPr>
            <w:tcW w:w="3140" w:type="dxa"/>
            <w:vAlign w:val="center"/>
          </w:tcPr>
          <w:p w:rsidR="006D0685" w:rsidRPr="00881F98" w:rsidRDefault="006D0685" w:rsidP="00D47A66">
            <w:pPr>
              <w:adjustRightInd w:val="0"/>
              <w:snapToGrid w:val="0"/>
              <w:spacing w:line="240" w:lineRule="auto"/>
              <w:jc w:val="center"/>
              <w:rPr>
                <w:rFonts w:ascii="標楷體" w:eastAsia="標楷體" w:hAnsi="標楷體"/>
                <w:b/>
                <w:color w:val="000000"/>
                <w:szCs w:val="24"/>
              </w:rPr>
            </w:pPr>
            <w:r w:rsidRPr="00881F98">
              <w:rPr>
                <w:rFonts w:ascii="標楷體" w:eastAsia="標楷體" w:hAnsi="標楷體"/>
                <w:b/>
                <w:color w:val="000000"/>
                <w:szCs w:val="24"/>
              </w:rPr>
              <w:t>說明</w:t>
            </w:r>
          </w:p>
        </w:tc>
      </w:tr>
      <w:tr w:rsidR="000C758B" w:rsidRPr="00881F98" w:rsidTr="00412A41">
        <w:trPr>
          <w:trHeight w:val="12101"/>
          <w:jc w:val="center"/>
        </w:trPr>
        <w:tc>
          <w:tcPr>
            <w:tcW w:w="3369" w:type="dxa"/>
          </w:tcPr>
          <w:p w:rsidR="00881F98" w:rsidRPr="00881F98" w:rsidRDefault="00881F98" w:rsidP="00881F98">
            <w:pPr>
              <w:adjustRightInd w:val="0"/>
              <w:snapToGrid w:val="0"/>
              <w:spacing w:beforeLines="50" w:line="240" w:lineRule="auto"/>
              <w:ind w:left="840" w:hangingChars="350" w:hanging="840"/>
              <w:rPr>
                <w:rFonts w:ascii="標楷體" w:eastAsia="標楷體" w:hAnsi="標楷體" w:hint="eastAsia"/>
                <w:color w:val="000000"/>
                <w:szCs w:val="24"/>
              </w:rPr>
            </w:pPr>
            <w:r w:rsidRPr="00881F98">
              <w:rPr>
                <w:rFonts w:ascii="標楷體" w:eastAsia="標楷體" w:hAnsi="標楷體" w:hint="eastAsia"/>
                <w:color w:val="000000"/>
                <w:szCs w:val="24"/>
              </w:rPr>
              <w:t>第</w:t>
            </w:r>
            <w:r w:rsidR="002E69D6">
              <w:rPr>
                <w:rFonts w:ascii="標楷體" w:eastAsia="標楷體" w:hAnsi="標楷體" w:hint="eastAsia"/>
                <w:color w:val="000000"/>
                <w:szCs w:val="24"/>
              </w:rPr>
              <w:t>二</w:t>
            </w:r>
            <w:r w:rsidRPr="00881F98">
              <w:rPr>
                <w:rFonts w:ascii="標楷體" w:eastAsia="標楷體" w:hAnsi="標楷體" w:hint="eastAsia"/>
                <w:color w:val="000000"/>
                <w:szCs w:val="24"/>
              </w:rPr>
              <w:t>條</w:t>
            </w:r>
          </w:p>
          <w:p w:rsidR="000C758B" w:rsidRPr="00881F98" w:rsidRDefault="001373CE" w:rsidP="00881F98">
            <w:pPr>
              <w:adjustRightInd w:val="0"/>
              <w:snapToGrid w:val="0"/>
              <w:spacing w:beforeLines="50" w:line="240" w:lineRule="auto"/>
              <w:ind w:left="840" w:hangingChars="350" w:hanging="840"/>
              <w:rPr>
                <w:rFonts w:ascii="標楷體" w:eastAsia="標楷體" w:hAnsi="標楷體" w:hint="eastAsia"/>
                <w:color w:val="000000"/>
                <w:szCs w:val="24"/>
              </w:rPr>
            </w:pPr>
            <w:r w:rsidRPr="00881F98">
              <w:rPr>
                <w:rFonts w:ascii="標楷體" w:eastAsia="標楷體" w:hAnsi="標楷體" w:hint="eastAsia"/>
                <w:color w:val="000000"/>
                <w:szCs w:val="24"/>
              </w:rPr>
              <w:t>（</w:t>
            </w:r>
            <w:r w:rsidR="00881F98" w:rsidRPr="00881F98">
              <w:rPr>
                <w:rFonts w:ascii="標楷體" w:eastAsia="標楷體" w:hAnsi="標楷體" w:hint="eastAsia"/>
                <w:color w:val="000000"/>
                <w:szCs w:val="24"/>
              </w:rPr>
              <w:t>第一項</w:t>
            </w:r>
            <w:r w:rsidR="000C758B" w:rsidRPr="00881F98">
              <w:rPr>
                <w:rFonts w:ascii="標楷體" w:eastAsia="標楷體" w:hAnsi="標楷體" w:hint="eastAsia"/>
                <w:color w:val="000000"/>
                <w:szCs w:val="24"/>
              </w:rPr>
              <w:t>未修正</w:t>
            </w:r>
            <w:r w:rsidRPr="00881F98">
              <w:rPr>
                <w:rFonts w:ascii="標楷體" w:eastAsia="標楷體" w:hAnsi="標楷體" w:hint="eastAsia"/>
                <w:color w:val="000000"/>
                <w:szCs w:val="24"/>
              </w:rPr>
              <w:t>）</w:t>
            </w:r>
          </w:p>
          <w:p w:rsidR="00881F98" w:rsidRPr="00881F98" w:rsidRDefault="00881F98" w:rsidP="00881F98">
            <w:pPr>
              <w:adjustRightInd w:val="0"/>
              <w:snapToGrid w:val="0"/>
              <w:spacing w:beforeLines="50" w:line="240" w:lineRule="auto"/>
              <w:ind w:firstLineChars="200" w:firstLine="480"/>
              <w:rPr>
                <w:rFonts w:ascii="標楷體" w:eastAsia="標楷體" w:hAnsi="標楷體" w:hint="eastAsia"/>
                <w:color w:val="000000"/>
                <w:szCs w:val="24"/>
              </w:rPr>
            </w:pPr>
            <w:r w:rsidRPr="00881F98">
              <w:rPr>
                <w:rFonts w:ascii="標楷體" w:eastAsia="標楷體" w:hAnsi="標楷體" w:hint="eastAsia"/>
                <w:color w:val="000000"/>
                <w:szCs w:val="24"/>
              </w:rPr>
              <w:t>委託人有下列情事之</w:t>
            </w:r>
            <w:proofErr w:type="gramStart"/>
            <w:r w:rsidRPr="00881F98">
              <w:rPr>
                <w:rFonts w:ascii="標楷體" w:eastAsia="標楷體" w:hAnsi="標楷體" w:hint="eastAsia"/>
                <w:color w:val="000000"/>
                <w:szCs w:val="24"/>
              </w:rPr>
              <w:t>一</w:t>
            </w:r>
            <w:proofErr w:type="gramEnd"/>
            <w:r w:rsidRPr="00881F98">
              <w:rPr>
                <w:rFonts w:ascii="標楷體" w:eastAsia="標楷體" w:hAnsi="標楷體" w:hint="eastAsia"/>
                <w:color w:val="000000"/>
                <w:szCs w:val="24"/>
              </w:rPr>
              <w:t>者，證券經紀商應拒絕接受開戶，已開戶者應拒絕接受委託買賣或申購有價證券。</w:t>
            </w:r>
          </w:p>
          <w:p w:rsidR="00881F98" w:rsidRPr="00881F98" w:rsidRDefault="00881F98" w:rsidP="00881F98">
            <w:pPr>
              <w:adjustRightInd w:val="0"/>
              <w:snapToGrid w:val="0"/>
              <w:spacing w:beforeLines="50" w:line="240" w:lineRule="auto"/>
              <w:ind w:leftChars="70" w:left="653" w:hangingChars="202" w:hanging="485"/>
              <w:rPr>
                <w:rFonts w:ascii="標楷體" w:eastAsia="標楷體" w:hAnsi="標楷體" w:hint="eastAsia"/>
                <w:color w:val="000000"/>
                <w:szCs w:val="24"/>
              </w:rPr>
            </w:pPr>
            <w:r w:rsidRPr="00881F98">
              <w:rPr>
                <w:rFonts w:ascii="標楷體" w:eastAsia="標楷體" w:hAnsi="標楷體" w:hint="eastAsia"/>
                <w:color w:val="000000"/>
                <w:szCs w:val="24"/>
              </w:rPr>
              <w:t>一、因證券交易違背契約，經本公司或櫃檯買賣中心轉知各證券經紀商後，未結案且未滿五年者。</w:t>
            </w:r>
            <w:r w:rsidRPr="00B14A97">
              <w:rPr>
                <w:rFonts w:ascii="標楷體" w:eastAsia="標楷體" w:hAnsi="標楷體" w:hint="eastAsia"/>
                <w:color w:val="000000"/>
                <w:szCs w:val="24"/>
                <w:u w:val="single"/>
              </w:rPr>
              <w:t>但接獲通知後，就委託人當日已成交之融資買進或融券賣出，為同種類、同數量有價證券沖抵交易之受託買賣，</w:t>
            </w:r>
            <w:r w:rsidRPr="00B14A97">
              <w:rPr>
                <w:rFonts w:ascii="標楷體" w:eastAsia="標楷體" w:hAnsi="標楷體" w:hint="eastAsia"/>
                <w:color w:val="000000"/>
                <w:szCs w:val="24"/>
                <w:u w:val="single"/>
              </w:rPr>
              <w:t>及</w:t>
            </w:r>
            <w:r w:rsidRPr="00881F98">
              <w:rPr>
                <w:rFonts w:ascii="標楷體" w:eastAsia="標楷體" w:hAnsi="標楷體" w:hint="eastAsia"/>
                <w:color w:val="000000"/>
                <w:szCs w:val="24"/>
                <w:u w:val="single"/>
              </w:rPr>
              <w:t>當日依「有價證券當日沖銷交易作業辦法」之受託賣出有價證券，</w:t>
            </w:r>
            <w:r w:rsidRPr="001324FD">
              <w:rPr>
                <w:rFonts w:ascii="標楷體" w:eastAsia="標楷體" w:hAnsi="標楷體" w:hint="eastAsia"/>
                <w:color w:val="000000"/>
                <w:szCs w:val="24"/>
                <w:u w:val="single"/>
              </w:rPr>
              <w:t>不在此限</w:t>
            </w:r>
            <w:r w:rsidRPr="00881F98">
              <w:rPr>
                <w:rFonts w:ascii="標楷體" w:eastAsia="標楷體" w:hAnsi="標楷體" w:hint="eastAsia"/>
                <w:color w:val="000000"/>
                <w:szCs w:val="24"/>
              </w:rPr>
              <w:t>。</w:t>
            </w:r>
          </w:p>
          <w:p w:rsidR="00881F98" w:rsidRPr="00881F98" w:rsidRDefault="00881F98" w:rsidP="00881F98">
            <w:pPr>
              <w:adjustRightInd w:val="0"/>
              <w:snapToGrid w:val="0"/>
              <w:spacing w:beforeLines="50" w:line="240" w:lineRule="auto"/>
              <w:ind w:leftChars="70" w:left="653" w:hangingChars="202" w:hanging="485"/>
              <w:rPr>
                <w:rFonts w:ascii="標楷體" w:eastAsia="標楷體" w:hAnsi="標楷體" w:hint="eastAsia"/>
                <w:color w:val="000000"/>
                <w:szCs w:val="24"/>
              </w:rPr>
            </w:pPr>
            <w:r w:rsidRPr="00881F98">
              <w:rPr>
                <w:rFonts w:ascii="標楷體" w:eastAsia="標楷體" w:hAnsi="標楷體" w:hint="eastAsia"/>
                <w:color w:val="000000"/>
                <w:szCs w:val="24"/>
              </w:rPr>
              <w:t>二、因違反證券交易</w:t>
            </w:r>
            <w:proofErr w:type="gramStart"/>
            <w:r w:rsidRPr="00881F98">
              <w:rPr>
                <w:rFonts w:ascii="標楷體" w:eastAsia="標楷體" w:hAnsi="標楷體" w:hint="eastAsia"/>
                <w:color w:val="000000"/>
                <w:szCs w:val="24"/>
              </w:rPr>
              <w:t>法或偽</w:t>
            </w:r>
            <w:proofErr w:type="gramEnd"/>
            <w:r w:rsidRPr="00881F98">
              <w:rPr>
                <w:rFonts w:ascii="標楷體" w:eastAsia="標楷體" w:hAnsi="標楷體" w:hint="eastAsia"/>
                <w:color w:val="000000"/>
                <w:szCs w:val="24"/>
              </w:rPr>
              <w:t>（變）造上市、上櫃有價證券案件，經檢察機關提起公訴尚在審理中，或經法院</w:t>
            </w:r>
            <w:proofErr w:type="gramStart"/>
            <w:r w:rsidRPr="00881F98">
              <w:rPr>
                <w:rFonts w:ascii="標楷體" w:eastAsia="標楷體" w:hAnsi="標楷體" w:hint="eastAsia"/>
                <w:color w:val="000000"/>
                <w:szCs w:val="24"/>
              </w:rPr>
              <w:t>諭</w:t>
            </w:r>
            <w:proofErr w:type="gramEnd"/>
            <w:r w:rsidRPr="00881F98">
              <w:rPr>
                <w:rFonts w:ascii="標楷體" w:eastAsia="標楷體" w:hAnsi="標楷體" w:hint="eastAsia"/>
                <w:color w:val="000000"/>
                <w:szCs w:val="24"/>
              </w:rPr>
              <w:t>知有罪判決確定未滿五年者。</w:t>
            </w:r>
          </w:p>
          <w:p w:rsidR="00881F98" w:rsidRDefault="00881F98" w:rsidP="00881F98">
            <w:pPr>
              <w:adjustRightInd w:val="0"/>
              <w:snapToGrid w:val="0"/>
              <w:spacing w:beforeLines="50" w:line="240" w:lineRule="auto"/>
              <w:ind w:leftChars="70" w:left="653" w:hangingChars="202" w:hanging="485"/>
              <w:rPr>
                <w:rFonts w:ascii="標楷體" w:eastAsia="標楷體" w:hAnsi="標楷體" w:hint="eastAsia"/>
                <w:color w:val="000000"/>
                <w:szCs w:val="24"/>
              </w:rPr>
            </w:pPr>
            <w:r w:rsidRPr="00881F98">
              <w:rPr>
                <w:rFonts w:ascii="標楷體" w:eastAsia="標楷體" w:hAnsi="標楷體" w:hint="eastAsia"/>
                <w:color w:val="000000"/>
                <w:szCs w:val="24"/>
              </w:rPr>
              <w:t>三、因違背期貨交易契約未結案且未滿五年，或違反期貨交易管理法令，經司法機關有罪之刑事判決確定未滿五年者。</w:t>
            </w:r>
          </w:p>
          <w:p w:rsidR="000C758B" w:rsidRPr="00881F98" w:rsidRDefault="000C758B" w:rsidP="00881F98">
            <w:pPr>
              <w:adjustRightInd w:val="0"/>
              <w:snapToGrid w:val="0"/>
              <w:spacing w:beforeLines="50" w:line="240" w:lineRule="auto"/>
              <w:ind w:left="485" w:hangingChars="202" w:hanging="485"/>
              <w:rPr>
                <w:rFonts w:ascii="標楷體" w:eastAsia="標楷體" w:hAnsi="標楷體" w:hint="eastAsia"/>
                <w:color w:val="000000"/>
                <w:szCs w:val="24"/>
              </w:rPr>
            </w:pPr>
          </w:p>
        </w:tc>
        <w:tc>
          <w:tcPr>
            <w:tcW w:w="3345" w:type="dxa"/>
          </w:tcPr>
          <w:p w:rsidR="00881F98" w:rsidRPr="00881F98" w:rsidRDefault="00881F98" w:rsidP="00881F98">
            <w:pPr>
              <w:adjustRightInd w:val="0"/>
              <w:snapToGrid w:val="0"/>
              <w:spacing w:beforeLines="50" w:line="240" w:lineRule="auto"/>
              <w:ind w:left="840" w:hangingChars="350" w:hanging="840"/>
              <w:rPr>
                <w:rFonts w:ascii="標楷體" w:eastAsia="標楷體" w:hAnsi="標楷體" w:hint="eastAsia"/>
                <w:color w:val="000000"/>
                <w:szCs w:val="24"/>
              </w:rPr>
            </w:pPr>
            <w:r w:rsidRPr="00881F98">
              <w:rPr>
                <w:rFonts w:ascii="標楷體" w:eastAsia="標楷體" w:hAnsi="標楷體" w:hint="eastAsia"/>
                <w:color w:val="000000"/>
                <w:szCs w:val="24"/>
              </w:rPr>
              <w:t>第</w:t>
            </w:r>
            <w:r w:rsidR="00137B42">
              <w:rPr>
                <w:rFonts w:ascii="標楷體" w:eastAsia="標楷體" w:hAnsi="標楷體" w:hint="eastAsia"/>
                <w:color w:val="000000"/>
                <w:szCs w:val="24"/>
              </w:rPr>
              <w:t>二</w:t>
            </w:r>
            <w:r w:rsidRPr="00881F98">
              <w:rPr>
                <w:rFonts w:ascii="標楷體" w:eastAsia="標楷體" w:hAnsi="標楷體" w:hint="eastAsia"/>
                <w:color w:val="000000"/>
                <w:szCs w:val="24"/>
              </w:rPr>
              <w:t>條</w:t>
            </w:r>
          </w:p>
          <w:p w:rsidR="00881F98" w:rsidRPr="00881F98" w:rsidRDefault="00881F98" w:rsidP="00881F98">
            <w:pPr>
              <w:adjustRightInd w:val="0"/>
              <w:snapToGrid w:val="0"/>
              <w:spacing w:beforeLines="50" w:line="240" w:lineRule="auto"/>
              <w:ind w:left="840" w:hangingChars="350" w:hanging="840"/>
              <w:rPr>
                <w:rFonts w:ascii="標楷體" w:eastAsia="標楷體" w:hAnsi="標楷體" w:hint="eastAsia"/>
                <w:color w:val="000000"/>
                <w:szCs w:val="24"/>
              </w:rPr>
            </w:pPr>
            <w:r w:rsidRPr="00881F98">
              <w:rPr>
                <w:rFonts w:ascii="標楷體" w:eastAsia="標楷體" w:hAnsi="標楷體" w:hint="eastAsia"/>
                <w:color w:val="000000"/>
                <w:szCs w:val="24"/>
              </w:rPr>
              <w:t>（第一項未修正）</w:t>
            </w:r>
          </w:p>
          <w:p w:rsidR="00881F98" w:rsidRPr="00881F98" w:rsidRDefault="00881F98" w:rsidP="00881F98">
            <w:pPr>
              <w:adjustRightInd w:val="0"/>
              <w:snapToGrid w:val="0"/>
              <w:spacing w:beforeLines="50" w:line="240" w:lineRule="auto"/>
              <w:ind w:firstLineChars="200" w:firstLine="480"/>
              <w:rPr>
                <w:rFonts w:ascii="標楷體" w:eastAsia="標楷體" w:hAnsi="標楷體" w:hint="eastAsia"/>
                <w:color w:val="000000"/>
                <w:szCs w:val="24"/>
              </w:rPr>
            </w:pPr>
            <w:r w:rsidRPr="00881F98">
              <w:rPr>
                <w:rFonts w:ascii="標楷體" w:eastAsia="標楷體" w:hAnsi="標楷體" w:hint="eastAsia"/>
                <w:color w:val="000000"/>
                <w:szCs w:val="24"/>
              </w:rPr>
              <w:t>委託人有下列情事之</w:t>
            </w:r>
            <w:proofErr w:type="gramStart"/>
            <w:r w:rsidRPr="00881F98">
              <w:rPr>
                <w:rFonts w:ascii="標楷體" w:eastAsia="標楷體" w:hAnsi="標楷體" w:hint="eastAsia"/>
                <w:color w:val="000000"/>
                <w:szCs w:val="24"/>
              </w:rPr>
              <w:t>一</w:t>
            </w:r>
            <w:proofErr w:type="gramEnd"/>
            <w:r w:rsidRPr="00881F98">
              <w:rPr>
                <w:rFonts w:ascii="標楷體" w:eastAsia="標楷體" w:hAnsi="標楷體" w:hint="eastAsia"/>
                <w:color w:val="000000"/>
                <w:szCs w:val="24"/>
              </w:rPr>
              <w:t>者，證券經紀商應拒絕接受開戶，已開戶者應拒絕接受委託買賣或申購有價證券。</w:t>
            </w:r>
          </w:p>
          <w:p w:rsidR="00881F98" w:rsidRDefault="00412A41" w:rsidP="00412A41">
            <w:pPr>
              <w:adjustRightInd w:val="0"/>
              <w:snapToGrid w:val="0"/>
              <w:spacing w:beforeLines="50" w:line="240" w:lineRule="auto"/>
              <w:ind w:leftChars="70" w:left="653" w:hangingChars="202" w:hanging="485"/>
              <w:rPr>
                <w:rFonts w:ascii="標楷體" w:eastAsia="標楷體" w:hAnsi="標楷體" w:hint="eastAsia"/>
                <w:color w:val="000000"/>
                <w:szCs w:val="24"/>
              </w:rPr>
            </w:pPr>
            <w:r>
              <w:rPr>
                <w:rFonts w:ascii="標楷體" w:eastAsia="標楷體" w:hAnsi="標楷體" w:hint="eastAsia"/>
                <w:color w:val="000000"/>
                <w:szCs w:val="24"/>
              </w:rPr>
              <w:t>一、</w:t>
            </w:r>
            <w:r w:rsidR="00881F98" w:rsidRPr="00881F98">
              <w:rPr>
                <w:rFonts w:ascii="標楷體" w:eastAsia="標楷體" w:hAnsi="標楷體" w:hint="eastAsia"/>
                <w:color w:val="000000"/>
                <w:szCs w:val="24"/>
              </w:rPr>
              <w:t>因證券交易違背契約，經本公司或櫃檯買賣中心轉知各證券經紀商後，未結案且未滿五年者。</w:t>
            </w:r>
          </w:p>
          <w:p w:rsidR="00412A41" w:rsidRDefault="00412A41" w:rsidP="00412A41">
            <w:pPr>
              <w:adjustRightInd w:val="0"/>
              <w:snapToGrid w:val="0"/>
              <w:spacing w:beforeLines="50" w:line="240" w:lineRule="auto"/>
              <w:ind w:left="168"/>
              <w:rPr>
                <w:rFonts w:ascii="標楷體" w:eastAsia="標楷體" w:hAnsi="標楷體" w:hint="eastAsia"/>
                <w:color w:val="000000"/>
                <w:szCs w:val="24"/>
              </w:rPr>
            </w:pPr>
          </w:p>
          <w:p w:rsidR="00881F98" w:rsidRDefault="00881F98" w:rsidP="00881F98">
            <w:pPr>
              <w:adjustRightInd w:val="0"/>
              <w:snapToGrid w:val="0"/>
              <w:spacing w:beforeLines="50" w:line="240" w:lineRule="auto"/>
              <w:rPr>
                <w:rFonts w:ascii="標楷體" w:eastAsia="標楷體" w:hAnsi="標楷體" w:hint="eastAsia"/>
                <w:color w:val="000000"/>
                <w:szCs w:val="24"/>
              </w:rPr>
            </w:pPr>
          </w:p>
          <w:p w:rsidR="00412A41" w:rsidRDefault="00412A41" w:rsidP="00881F98">
            <w:pPr>
              <w:adjustRightInd w:val="0"/>
              <w:snapToGrid w:val="0"/>
              <w:spacing w:beforeLines="50" w:line="240" w:lineRule="auto"/>
              <w:rPr>
                <w:rFonts w:ascii="標楷體" w:eastAsia="標楷體" w:hAnsi="標楷體" w:hint="eastAsia"/>
                <w:color w:val="000000"/>
                <w:szCs w:val="24"/>
              </w:rPr>
            </w:pPr>
          </w:p>
          <w:p w:rsidR="00412A41" w:rsidRDefault="00412A41" w:rsidP="00881F98">
            <w:pPr>
              <w:adjustRightInd w:val="0"/>
              <w:snapToGrid w:val="0"/>
              <w:spacing w:beforeLines="50" w:line="240" w:lineRule="auto"/>
              <w:rPr>
                <w:rFonts w:ascii="標楷體" w:eastAsia="標楷體" w:hAnsi="標楷體" w:hint="eastAsia"/>
                <w:color w:val="000000"/>
                <w:szCs w:val="24"/>
              </w:rPr>
            </w:pPr>
          </w:p>
          <w:p w:rsidR="00881F98" w:rsidRPr="00881F98" w:rsidRDefault="00881F98" w:rsidP="00881F98">
            <w:pPr>
              <w:adjustRightInd w:val="0"/>
              <w:snapToGrid w:val="0"/>
              <w:spacing w:beforeLines="50" w:line="240" w:lineRule="auto"/>
              <w:rPr>
                <w:rFonts w:ascii="標楷體" w:eastAsia="標楷體" w:hAnsi="標楷體" w:hint="eastAsia"/>
                <w:color w:val="000000"/>
                <w:szCs w:val="24"/>
              </w:rPr>
            </w:pPr>
          </w:p>
          <w:p w:rsidR="00881F98" w:rsidRPr="00881F98" w:rsidRDefault="00881F98" w:rsidP="00881F98">
            <w:pPr>
              <w:adjustRightInd w:val="0"/>
              <w:snapToGrid w:val="0"/>
              <w:spacing w:beforeLines="50" w:line="240" w:lineRule="auto"/>
              <w:ind w:leftChars="70" w:left="653" w:hangingChars="202" w:hanging="485"/>
              <w:rPr>
                <w:rFonts w:ascii="標楷體" w:eastAsia="標楷體" w:hAnsi="標楷體" w:hint="eastAsia"/>
                <w:color w:val="000000"/>
                <w:szCs w:val="24"/>
              </w:rPr>
            </w:pPr>
            <w:r w:rsidRPr="00881F98">
              <w:rPr>
                <w:rFonts w:ascii="標楷體" w:eastAsia="標楷體" w:hAnsi="標楷體" w:hint="eastAsia"/>
                <w:color w:val="000000"/>
                <w:szCs w:val="24"/>
              </w:rPr>
              <w:t>二、因違反證券交易</w:t>
            </w:r>
            <w:proofErr w:type="gramStart"/>
            <w:r w:rsidRPr="00881F98">
              <w:rPr>
                <w:rFonts w:ascii="標楷體" w:eastAsia="標楷體" w:hAnsi="標楷體" w:hint="eastAsia"/>
                <w:color w:val="000000"/>
                <w:szCs w:val="24"/>
              </w:rPr>
              <w:t>法或偽</w:t>
            </w:r>
            <w:proofErr w:type="gramEnd"/>
            <w:r w:rsidRPr="00881F98">
              <w:rPr>
                <w:rFonts w:ascii="標楷體" w:eastAsia="標楷體" w:hAnsi="標楷體" w:hint="eastAsia"/>
                <w:color w:val="000000"/>
                <w:szCs w:val="24"/>
              </w:rPr>
              <w:t>（變）造上市、上櫃有價證券案件，經檢察機關提起公訴尚在審理中，或經法院</w:t>
            </w:r>
            <w:proofErr w:type="gramStart"/>
            <w:r w:rsidRPr="00881F98">
              <w:rPr>
                <w:rFonts w:ascii="標楷體" w:eastAsia="標楷體" w:hAnsi="標楷體" w:hint="eastAsia"/>
                <w:color w:val="000000"/>
                <w:szCs w:val="24"/>
              </w:rPr>
              <w:t>諭</w:t>
            </w:r>
            <w:proofErr w:type="gramEnd"/>
            <w:r w:rsidRPr="00881F98">
              <w:rPr>
                <w:rFonts w:ascii="標楷體" w:eastAsia="標楷體" w:hAnsi="標楷體" w:hint="eastAsia"/>
                <w:color w:val="000000"/>
                <w:szCs w:val="24"/>
              </w:rPr>
              <w:t>知有罪判決確定未滿五年者。</w:t>
            </w:r>
          </w:p>
          <w:p w:rsidR="00881F98" w:rsidRDefault="00881F98" w:rsidP="00881F98">
            <w:pPr>
              <w:adjustRightInd w:val="0"/>
              <w:snapToGrid w:val="0"/>
              <w:spacing w:beforeLines="50" w:line="240" w:lineRule="auto"/>
              <w:ind w:leftChars="70" w:left="653" w:hangingChars="202" w:hanging="485"/>
              <w:rPr>
                <w:rFonts w:ascii="標楷體" w:eastAsia="標楷體" w:hAnsi="標楷體" w:hint="eastAsia"/>
                <w:color w:val="000000"/>
                <w:szCs w:val="24"/>
              </w:rPr>
            </w:pPr>
            <w:r w:rsidRPr="00881F98">
              <w:rPr>
                <w:rFonts w:ascii="標楷體" w:eastAsia="標楷體" w:hAnsi="標楷體" w:hint="eastAsia"/>
                <w:color w:val="000000"/>
                <w:szCs w:val="24"/>
              </w:rPr>
              <w:t>三、因違背期貨交易契約未結案且未滿五年，或違反期貨交易管理法令，經司法機關有罪之刑事判決確定未滿五年者。</w:t>
            </w:r>
          </w:p>
          <w:p w:rsidR="000C758B" w:rsidRPr="00881F98" w:rsidRDefault="000C758B" w:rsidP="00881F98">
            <w:pPr>
              <w:adjustRightInd w:val="0"/>
              <w:snapToGrid w:val="0"/>
              <w:spacing w:beforeLines="50" w:line="240" w:lineRule="auto"/>
              <w:rPr>
                <w:rFonts w:ascii="標楷體" w:eastAsia="標楷體" w:hAnsi="標楷體" w:hint="eastAsia"/>
                <w:color w:val="000000"/>
                <w:szCs w:val="24"/>
                <w:u w:val="single"/>
              </w:rPr>
            </w:pPr>
          </w:p>
        </w:tc>
        <w:tc>
          <w:tcPr>
            <w:tcW w:w="3140" w:type="dxa"/>
          </w:tcPr>
          <w:p w:rsidR="000C758B" w:rsidRDefault="00881F98" w:rsidP="00443EF6">
            <w:pPr>
              <w:adjustRightInd w:val="0"/>
              <w:snapToGrid w:val="0"/>
              <w:spacing w:beforeLines="50" w:line="240" w:lineRule="auto"/>
              <w:ind w:left="458" w:hangingChars="191" w:hanging="458"/>
              <w:rPr>
                <w:rFonts w:ascii="標楷體" w:eastAsia="標楷體" w:hAnsi="標楷體" w:cs="新細明體" w:hint="eastAsia"/>
                <w:color w:val="000000"/>
                <w:szCs w:val="24"/>
              </w:rPr>
            </w:pPr>
            <w:r>
              <w:rPr>
                <w:rFonts w:ascii="標楷體" w:eastAsia="標楷體" w:hAnsi="標楷體" w:cs="新細明體" w:hint="eastAsia"/>
                <w:color w:val="000000"/>
                <w:szCs w:val="24"/>
              </w:rPr>
              <w:t>一、本公司現行於T+2日上午11：30盤中傳送1次違約資料，證券商接獲本公司轉知投資人違約後，至遲應於T+2日中午12：00開始依本公司「營業細則」第七十六條第三項辦理，拒絕接受其委託買賣。</w:t>
            </w:r>
          </w:p>
          <w:p w:rsidR="00881F98" w:rsidRDefault="00881F98" w:rsidP="00443EF6">
            <w:pPr>
              <w:adjustRightInd w:val="0"/>
              <w:snapToGrid w:val="0"/>
              <w:spacing w:beforeLines="50" w:line="240" w:lineRule="auto"/>
              <w:ind w:left="458" w:hangingChars="191" w:hanging="458"/>
              <w:rPr>
                <w:rFonts w:ascii="標楷體" w:eastAsia="標楷體" w:hAnsi="標楷體" w:cs="新細明體" w:hint="eastAsia"/>
                <w:color w:val="000000"/>
                <w:szCs w:val="24"/>
              </w:rPr>
            </w:pPr>
            <w:r>
              <w:rPr>
                <w:rFonts w:ascii="標楷體" w:eastAsia="標楷體" w:hAnsi="標楷體" w:cs="新細明體" w:hint="eastAsia"/>
                <w:color w:val="000000"/>
                <w:szCs w:val="24"/>
              </w:rPr>
              <w:t>二、為因應開放有價證券先買後賣當日沖銷交易，考量證券商接獲轉知違約資料時，交易市場尚未收盤，倘委託人當日交易策略，原規劃進行先買</w:t>
            </w:r>
            <w:proofErr w:type="gramStart"/>
            <w:r>
              <w:rPr>
                <w:rFonts w:ascii="標楷體" w:eastAsia="標楷體" w:hAnsi="標楷體" w:cs="新細明體" w:hint="eastAsia"/>
                <w:color w:val="000000"/>
                <w:szCs w:val="24"/>
              </w:rPr>
              <w:t>後賣現股</w:t>
            </w:r>
            <w:proofErr w:type="gramEnd"/>
            <w:r>
              <w:rPr>
                <w:rFonts w:ascii="標楷體" w:eastAsia="標楷體" w:hAnsi="標楷體" w:cs="新細明體" w:hint="eastAsia"/>
                <w:color w:val="000000"/>
                <w:szCs w:val="24"/>
              </w:rPr>
              <w:t>當沖交易，因其於他家證券商違約而被拒絕接受委託賣出，恐導致現股當沖無法完成，進而可能無法交割，致再次發生違約。為避免此情事發生，當日交易時間內，證券商仍得接受該委託人委託賣出當日已依「有價證券當日沖銷交易作業辦法」買進之有價證券，</w:t>
            </w:r>
            <w:proofErr w:type="gramStart"/>
            <w:r>
              <w:rPr>
                <w:rFonts w:ascii="標楷體" w:eastAsia="標楷體" w:hAnsi="標楷體" w:cs="新細明體" w:hint="eastAsia"/>
                <w:color w:val="000000"/>
                <w:szCs w:val="24"/>
              </w:rPr>
              <w:t>爰</w:t>
            </w:r>
            <w:proofErr w:type="gramEnd"/>
            <w:r>
              <w:rPr>
                <w:rFonts w:ascii="標楷體" w:eastAsia="標楷體" w:hAnsi="標楷體" w:cs="新細明體" w:hint="eastAsia"/>
                <w:color w:val="000000"/>
                <w:szCs w:val="24"/>
              </w:rPr>
              <w:t>配合修正第3項第1款規定。</w:t>
            </w:r>
          </w:p>
          <w:p w:rsidR="00A72C9D" w:rsidRPr="00881F98" w:rsidRDefault="00137B42" w:rsidP="00137B42">
            <w:pPr>
              <w:adjustRightInd w:val="0"/>
              <w:snapToGrid w:val="0"/>
              <w:spacing w:beforeLines="50" w:line="240" w:lineRule="auto"/>
              <w:ind w:left="458" w:hangingChars="191" w:hanging="458"/>
              <w:rPr>
                <w:rFonts w:ascii="標楷體" w:eastAsia="標楷體" w:hAnsi="標楷體" w:cs="新細明體"/>
                <w:color w:val="000000"/>
                <w:szCs w:val="24"/>
              </w:rPr>
            </w:pPr>
            <w:r>
              <w:rPr>
                <w:rFonts w:ascii="標楷體" w:eastAsia="標楷體" w:hAnsi="標楷體" w:cs="新細明體" w:hint="eastAsia"/>
                <w:color w:val="000000"/>
                <w:szCs w:val="24"/>
              </w:rPr>
              <w:t>三、另就信用交易當日已成交之融資買進或融券賣出，為同種類、同數量有價證券沖抵交易之受託買賣，配合本公司營業細則第七十六條業已修正，</w:t>
            </w:r>
            <w:proofErr w:type="gramStart"/>
            <w:r>
              <w:rPr>
                <w:rFonts w:ascii="標楷體" w:eastAsia="標楷體" w:hAnsi="標楷體" w:cs="新細明體" w:hint="eastAsia"/>
                <w:color w:val="000000"/>
                <w:szCs w:val="24"/>
              </w:rPr>
              <w:t>爰</w:t>
            </w:r>
            <w:proofErr w:type="gramEnd"/>
            <w:r>
              <w:rPr>
                <w:rFonts w:ascii="標楷體" w:eastAsia="標楷體" w:hAnsi="標楷體" w:cs="新細明體" w:hint="eastAsia"/>
                <w:color w:val="000000"/>
                <w:szCs w:val="24"/>
              </w:rPr>
              <w:t>配合文字調整。</w:t>
            </w:r>
          </w:p>
        </w:tc>
      </w:tr>
    </w:tbl>
    <w:p w:rsidR="006D0685" w:rsidRPr="006D0685" w:rsidRDefault="006D0685" w:rsidP="006D0685"/>
    <w:sectPr w:rsidR="006D0685" w:rsidRPr="006D0685" w:rsidSect="006F4ADE">
      <w:footerReference w:type="default" r:id="rId7"/>
      <w:pgSz w:w="11906" w:h="16838" w:code="9"/>
      <w:pgMar w:top="720" w:right="794" w:bottom="720" w:left="794" w:header="851" w:footer="510"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1BF" w:rsidRDefault="009321BF" w:rsidP="006D0685">
      <w:pPr>
        <w:spacing w:line="240" w:lineRule="auto"/>
      </w:pPr>
      <w:r>
        <w:separator/>
      </w:r>
    </w:p>
  </w:endnote>
  <w:endnote w:type="continuationSeparator" w:id="0">
    <w:p w:rsidR="009321BF" w:rsidRDefault="009321BF" w:rsidP="006D06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1BE" w:rsidRDefault="004631BE">
    <w:pPr>
      <w:pStyle w:val="a6"/>
      <w:jc w:val="center"/>
    </w:pPr>
    <w:fldSimple w:instr=" PAGE   \* MERGEFORMAT ">
      <w:r w:rsidR="001324FD" w:rsidRPr="001324FD">
        <w:rPr>
          <w:noProof/>
          <w:lang w:val="zh-TW"/>
        </w:rPr>
        <w:t>-</w:t>
      </w:r>
      <w:r w:rsidR="001324FD">
        <w:rPr>
          <w:noProof/>
        </w:rPr>
        <w:t xml:space="preserve"> 1 -</w:t>
      </w:r>
    </w:fldSimple>
  </w:p>
  <w:p w:rsidR="004631BE" w:rsidRDefault="004631B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1BF" w:rsidRDefault="009321BF" w:rsidP="006D0685">
      <w:pPr>
        <w:spacing w:line="240" w:lineRule="auto"/>
      </w:pPr>
      <w:r>
        <w:separator/>
      </w:r>
    </w:p>
  </w:footnote>
  <w:footnote w:type="continuationSeparator" w:id="0">
    <w:p w:rsidR="009321BF" w:rsidRDefault="009321BF" w:rsidP="006D068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314B4"/>
    <w:multiLevelType w:val="hybridMultilevel"/>
    <w:tmpl w:val="3032499E"/>
    <w:lvl w:ilvl="0" w:tplc="97EA5528">
      <w:start w:val="1"/>
      <w:numFmt w:val="taiwaneseCountingThousand"/>
      <w:lvlText w:val="第%1條"/>
      <w:lvlJc w:val="left"/>
      <w:pPr>
        <w:tabs>
          <w:tab w:val="num" w:pos="1035"/>
        </w:tabs>
        <w:ind w:left="1035" w:hanging="10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19D4BE9"/>
    <w:multiLevelType w:val="hybridMultilevel"/>
    <w:tmpl w:val="601447C0"/>
    <w:lvl w:ilvl="0" w:tplc="84B6A48E">
      <w:start w:val="1"/>
      <w:numFmt w:val="taiwaneseCountingThousand"/>
      <w:lvlText w:val="%1、"/>
      <w:lvlJc w:val="left"/>
      <w:pPr>
        <w:ind w:left="528" w:hanging="360"/>
      </w:pPr>
      <w:rPr>
        <w:rFonts w:hint="default"/>
      </w:rPr>
    </w:lvl>
    <w:lvl w:ilvl="1" w:tplc="04090019" w:tentative="1">
      <w:start w:val="1"/>
      <w:numFmt w:val="ideographTraditional"/>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2">
    <w:nsid w:val="228E4D2D"/>
    <w:multiLevelType w:val="hybridMultilevel"/>
    <w:tmpl w:val="B7CCA4D6"/>
    <w:lvl w:ilvl="0" w:tplc="3B626A76">
      <w:start w:val="1"/>
      <w:numFmt w:val="taiwaneseCountingThousand"/>
      <w:lvlText w:val="%1、"/>
      <w:lvlJc w:val="left"/>
      <w:pPr>
        <w:tabs>
          <w:tab w:val="num" w:pos="510"/>
        </w:tabs>
        <w:ind w:left="510" w:hanging="510"/>
      </w:pPr>
      <w:rPr>
        <w:rFonts w:ascii="Calibri" w:hAnsi="Calibri"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9C819FB"/>
    <w:multiLevelType w:val="hybridMultilevel"/>
    <w:tmpl w:val="29E6D064"/>
    <w:lvl w:ilvl="0" w:tplc="5D5C0138">
      <w:start w:val="1"/>
      <w:numFmt w:val="taiwaneseCountingThousand"/>
      <w:lvlText w:val="%1、"/>
      <w:lvlJc w:val="left"/>
      <w:pPr>
        <w:tabs>
          <w:tab w:val="num" w:pos="510"/>
        </w:tabs>
        <w:ind w:left="510" w:hanging="510"/>
      </w:pPr>
      <w:rPr>
        <w:rFonts w:ascii="Times New Roman" w:eastAsia="標楷體" w:hAnsi="Times New Roman" w:cs="Times New Roman"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D31755B"/>
    <w:multiLevelType w:val="hybridMultilevel"/>
    <w:tmpl w:val="764CD4A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059715B"/>
    <w:multiLevelType w:val="hybridMultilevel"/>
    <w:tmpl w:val="FAD8DB32"/>
    <w:lvl w:ilvl="0" w:tplc="4C64FCFC">
      <w:start w:val="1"/>
      <w:numFmt w:val="taiwaneseCountingThousand"/>
      <w:lvlText w:val="%1、"/>
      <w:lvlJc w:val="left"/>
      <w:pPr>
        <w:ind w:left="814" w:hanging="72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6">
    <w:nsid w:val="359A1FF1"/>
    <w:multiLevelType w:val="hybridMultilevel"/>
    <w:tmpl w:val="C46ABC6C"/>
    <w:lvl w:ilvl="0" w:tplc="B77ECE88">
      <w:start w:val="1"/>
      <w:numFmt w:val="taiwaneseCountingThousand"/>
      <w:lvlText w:val="%1、"/>
      <w:lvlJc w:val="left"/>
      <w:pPr>
        <w:tabs>
          <w:tab w:val="num" w:pos="480"/>
        </w:tabs>
        <w:ind w:left="480" w:hanging="480"/>
      </w:pPr>
      <w:rPr>
        <w:rFonts w:ascii="Times New Roman" w:hAnsi="Times New Roman"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6BF6F27"/>
    <w:multiLevelType w:val="hybridMultilevel"/>
    <w:tmpl w:val="8A1A9B06"/>
    <w:lvl w:ilvl="0" w:tplc="FA869A30">
      <w:start w:val="1"/>
      <w:numFmt w:val="taiwaneseCountingThousand"/>
      <w:lvlText w:val="%1、"/>
      <w:lvlJc w:val="left"/>
      <w:pPr>
        <w:tabs>
          <w:tab w:val="num" w:pos="435"/>
        </w:tabs>
        <w:ind w:left="435" w:hanging="4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DEB191B"/>
    <w:multiLevelType w:val="hybridMultilevel"/>
    <w:tmpl w:val="3F947BD0"/>
    <w:lvl w:ilvl="0" w:tplc="6448A8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319382C"/>
    <w:multiLevelType w:val="hybridMultilevel"/>
    <w:tmpl w:val="541AF034"/>
    <w:lvl w:ilvl="0" w:tplc="1EBA510A">
      <w:start w:val="1"/>
      <w:numFmt w:val="taiwaneseCountingThousand"/>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nsid w:val="53885F36"/>
    <w:multiLevelType w:val="hybridMultilevel"/>
    <w:tmpl w:val="A47C9F62"/>
    <w:lvl w:ilvl="0" w:tplc="E0DCFE84">
      <w:start w:val="1"/>
      <w:numFmt w:val="taiwaneseCountingThousand"/>
      <w:lvlText w:val="%1、"/>
      <w:lvlJc w:val="left"/>
      <w:pPr>
        <w:tabs>
          <w:tab w:val="num" w:pos="478"/>
        </w:tabs>
        <w:ind w:left="478" w:hanging="480"/>
      </w:pPr>
      <w:rPr>
        <w:rFonts w:ascii="Calibri" w:eastAsia="新細明體" w:hint="default"/>
        <w:color w:val="000000"/>
        <w:sz w:val="24"/>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11">
    <w:nsid w:val="64CC2442"/>
    <w:multiLevelType w:val="hybridMultilevel"/>
    <w:tmpl w:val="8E1081B0"/>
    <w:lvl w:ilvl="0" w:tplc="8E561B16">
      <w:start w:val="1"/>
      <w:numFmt w:val="taiwaneseCountingThousand"/>
      <w:lvlText w:val="%1、"/>
      <w:lvlJc w:val="left"/>
      <w:pPr>
        <w:tabs>
          <w:tab w:val="num" w:pos="510"/>
        </w:tabs>
        <w:ind w:left="510" w:hanging="510"/>
      </w:pPr>
      <w:rPr>
        <w:rFonts w:ascii="Calibri" w:hAnsi="Calibri"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DBF77E8"/>
    <w:multiLevelType w:val="hybridMultilevel"/>
    <w:tmpl w:val="BD3E76B8"/>
    <w:lvl w:ilvl="0" w:tplc="73CCFBF0">
      <w:start w:val="1"/>
      <w:numFmt w:val="taiwaneseCountingThousand"/>
      <w:lvlText w:val="%1、"/>
      <w:lvlJc w:val="left"/>
      <w:pPr>
        <w:ind w:left="735" w:hanging="720"/>
      </w:pPr>
      <w:rPr>
        <w:rFonts w:hint="default"/>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13">
    <w:nsid w:val="6F2D5D8F"/>
    <w:multiLevelType w:val="hybridMultilevel"/>
    <w:tmpl w:val="1D7C72A0"/>
    <w:lvl w:ilvl="0" w:tplc="85DCEE14">
      <w:start w:val="1"/>
      <w:numFmt w:val="taiwaneseCountingThousand"/>
      <w:lvlText w:val="%1、"/>
      <w:lvlJc w:val="left"/>
      <w:pPr>
        <w:tabs>
          <w:tab w:val="num" w:pos="720"/>
        </w:tabs>
        <w:ind w:left="720" w:hanging="720"/>
      </w:pPr>
      <w:rPr>
        <w:rFonts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2975B86"/>
    <w:multiLevelType w:val="hybridMultilevel"/>
    <w:tmpl w:val="11DC815E"/>
    <w:lvl w:ilvl="0" w:tplc="1E26E7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3A253E1"/>
    <w:multiLevelType w:val="hybridMultilevel"/>
    <w:tmpl w:val="DD7A2B32"/>
    <w:lvl w:ilvl="0" w:tplc="77FEAF74">
      <w:start w:val="1"/>
      <w:numFmt w:val="taiwaneseCountingThousand"/>
      <w:lvlText w:val="%1、"/>
      <w:lvlJc w:val="left"/>
      <w:pPr>
        <w:tabs>
          <w:tab w:val="num" w:pos="435"/>
        </w:tabs>
        <w:ind w:left="435" w:hanging="435"/>
      </w:pPr>
      <w:rPr>
        <w:rFonts w:ascii="標楷體" w:eastAsia="標楷體" w:hAnsi="標楷體" w:cs="Times New Roman"/>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4984DBC"/>
    <w:multiLevelType w:val="hybridMultilevel"/>
    <w:tmpl w:val="905A6B78"/>
    <w:lvl w:ilvl="0" w:tplc="28BAD0A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EF1357E"/>
    <w:multiLevelType w:val="hybridMultilevel"/>
    <w:tmpl w:val="2C7625B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4"/>
  </w:num>
  <w:num w:numId="3">
    <w:abstractNumId w:val="3"/>
  </w:num>
  <w:num w:numId="4">
    <w:abstractNumId w:val="16"/>
  </w:num>
  <w:num w:numId="5">
    <w:abstractNumId w:val="11"/>
  </w:num>
  <w:num w:numId="6">
    <w:abstractNumId w:val="2"/>
  </w:num>
  <w:num w:numId="7">
    <w:abstractNumId w:val="15"/>
  </w:num>
  <w:num w:numId="8">
    <w:abstractNumId w:val="7"/>
  </w:num>
  <w:num w:numId="9">
    <w:abstractNumId w:val="6"/>
  </w:num>
  <w:num w:numId="10">
    <w:abstractNumId w:val="10"/>
  </w:num>
  <w:num w:numId="11">
    <w:abstractNumId w:val="14"/>
  </w:num>
  <w:num w:numId="12">
    <w:abstractNumId w:val="13"/>
  </w:num>
  <w:num w:numId="13">
    <w:abstractNumId w:val="12"/>
  </w:num>
  <w:num w:numId="14">
    <w:abstractNumId w:val="5"/>
  </w:num>
  <w:num w:numId="15">
    <w:abstractNumId w:val="0"/>
  </w:num>
  <w:num w:numId="16">
    <w:abstractNumId w:val="8"/>
  </w:num>
  <w:num w:numId="17">
    <w:abstractNumId w:val="1"/>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0685"/>
    <w:rsid w:val="00011E06"/>
    <w:rsid w:val="00017688"/>
    <w:rsid w:val="00033207"/>
    <w:rsid w:val="00035FA7"/>
    <w:rsid w:val="000454E4"/>
    <w:rsid w:val="00047D14"/>
    <w:rsid w:val="00050612"/>
    <w:rsid w:val="00052CE3"/>
    <w:rsid w:val="0005525F"/>
    <w:rsid w:val="00060FBE"/>
    <w:rsid w:val="00067B3B"/>
    <w:rsid w:val="00070316"/>
    <w:rsid w:val="00071A11"/>
    <w:rsid w:val="00072218"/>
    <w:rsid w:val="00083ABC"/>
    <w:rsid w:val="00086209"/>
    <w:rsid w:val="0009081B"/>
    <w:rsid w:val="00093560"/>
    <w:rsid w:val="000A2AAD"/>
    <w:rsid w:val="000A6558"/>
    <w:rsid w:val="000C3EAA"/>
    <w:rsid w:val="000C758B"/>
    <w:rsid w:val="000C7C04"/>
    <w:rsid w:val="000D58CF"/>
    <w:rsid w:val="000E28BB"/>
    <w:rsid w:val="000E73AC"/>
    <w:rsid w:val="000F4336"/>
    <w:rsid w:val="00101D1D"/>
    <w:rsid w:val="001079BD"/>
    <w:rsid w:val="00117586"/>
    <w:rsid w:val="001214AB"/>
    <w:rsid w:val="00125F63"/>
    <w:rsid w:val="001324FD"/>
    <w:rsid w:val="00133C4A"/>
    <w:rsid w:val="001371DF"/>
    <w:rsid w:val="001373CE"/>
    <w:rsid w:val="00137B42"/>
    <w:rsid w:val="001420CF"/>
    <w:rsid w:val="0014340C"/>
    <w:rsid w:val="001460E8"/>
    <w:rsid w:val="001465CB"/>
    <w:rsid w:val="00151F0A"/>
    <w:rsid w:val="00160C21"/>
    <w:rsid w:val="0016191C"/>
    <w:rsid w:val="00170E91"/>
    <w:rsid w:val="001734A6"/>
    <w:rsid w:val="00184069"/>
    <w:rsid w:val="00192C2D"/>
    <w:rsid w:val="001967A7"/>
    <w:rsid w:val="001A338C"/>
    <w:rsid w:val="001B1FAF"/>
    <w:rsid w:val="001D1F1A"/>
    <w:rsid w:val="001D3381"/>
    <w:rsid w:val="001E38E3"/>
    <w:rsid w:val="001E4ED0"/>
    <w:rsid w:val="001F3588"/>
    <w:rsid w:val="00204730"/>
    <w:rsid w:val="00204A16"/>
    <w:rsid w:val="00211113"/>
    <w:rsid w:val="0022033B"/>
    <w:rsid w:val="00224735"/>
    <w:rsid w:val="00225B0D"/>
    <w:rsid w:val="00225E4C"/>
    <w:rsid w:val="00233A3B"/>
    <w:rsid w:val="002340E5"/>
    <w:rsid w:val="002408C8"/>
    <w:rsid w:val="00241ACC"/>
    <w:rsid w:val="00241AEC"/>
    <w:rsid w:val="00243BBD"/>
    <w:rsid w:val="00253E4C"/>
    <w:rsid w:val="002615B2"/>
    <w:rsid w:val="00266F33"/>
    <w:rsid w:val="002673C8"/>
    <w:rsid w:val="00276BAF"/>
    <w:rsid w:val="00280EAF"/>
    <w:rsid w:val="002870DD"/>
    <w:rsid w:val="0029724C"/>
    <w:rsid w:val="002A080B"/>
    <w:rsid w:val="002C2EC1"/>
    <w:rsid w:val="002C6BEF"/>
    <w:rsid w:val="002D226E"/>
    <w:rsid w:val="002E3FC5"/>
    <w:rsid w:val="002E69D6"/>
    <w:rsid w:val="002F07F5"/>
    <w:rsid w:val="002F2CAE"/>
    <w:rsid w:val="00304A28"/>
    <w:rsid w:val="00306E85"/>
    <w:rsid w:val="00312B2D"/>
    <w:rsid w:val="00312F20"/>
    <w:rsid w:val="00317DA6"/>
    <w:rsid w:val="00326045"/>
    <w:rsid w:val="00334437"/>
    <w:rsid w:val="00337EAE"/>
    <w:rsid w:val="00343F0C"/>
    <w:rsid w:val="00357CBA"/>
    <w:rsid w:val="00366286"/>
    <w:rsid w:val="00366CA1"/>
    <w:rsid w:val="0037278C"/>
    <w:rsid w:val="0039694C"/>
    <w:rsid w:val="003A2FF2"/>
    <w:rsid w:val="003B34D3"/>
    <w:rsid w:val="003C21CD"/>
    <w:rsid w:val="003D61A8"/>
    <w:rsid w:val="00406BF9"/>
    <w:rsid w:val="00412A41"/>
    <w:rsid w:val="00414355"/>
    <w:rsid w:val="00424622"/>
    <w:rsid w:val="00424BB7"/>
    <w:rsid w:val="004347B1"/>
    <w:rsid w:val="00435DD3"/>
    <w:rsid w:val="00443EF6"/>
    <w:rsid w:val="004631BE"/>
    <w:rsid w:val="00467DF9"/>
    <w:rsid w:val="00471986"/>
    <w:rsid w:val="0047291B"/>
    <w:rsid w:val="00482123"/>
    <w:rsid w:val="00486228"/>
    <w:rsid w:val="00492D85"/>
    <w:rsid w:val="004D6E29"/>
    <w:rsid w:val="004F0B33"/>
    <w:rsid w:val="004F2962"/>
    <w:rsid w:val="0051102E"/>
    <w:rsid w:val="00512F22"/>
    <w:rsid w:val="0051727A"/>
    <w:rsid w:val="00523390"/>
    <w:rsid w:val="0052537B"/>
    <w:rsid w:val="00546401"/>
    <w:rsid w:val="00554231"/>
    <w:rsid w:val="00554B4D"/>
    <w:rsid w:val="005648B5"/>
    <w:rsid w:val="00565C83"/>
    <w:rsid w:val="0056789D"/>
    <w:rsid w:val="00574D42"/>
    <w:rsid w:val="00575165"/>
    <w:rsid w:val="00580809"/>
    <w:rsid w:val="00587731"/>
    <w:rsid w:val="005A1559"/>
    <w:rsid w:val="005A32E9"/>
    <w:rsid w:val="005D15D7"/>
    <w:rsid w:val="005D67D1"/>
    <w:rsid w:val="005E25A7"/>
    <w:rsid w:val="005E73B3"/>
    <w:rsid w:val="005F1947"/>
    <w:rsid w:val="005F6084"/>
    <w:rsid w:val="005F6AD2"/>
    <w:rsid w:val="00600392"/>
    <w:rsid w:val="006063D1"/>
    <w:rsid w:val="00610C77"/>
    <w:rsid w:val="006218A8"/>
    <w:rsid w:val="006241F1"/>
    <w:rsid w:val="006269B8"/>
    <w:rsid w:val="006327D5"/>
    <w:rsid w:val="006344E8"/>
    <w:rsid w:val="0063575A"/>
    <w:rsid w:val="006357FF"/>
    <w:rsid w:val="00642D93"/>
    <w:rsid w:val="006516C8"/>
    <w:rsid w:val="006526DB"/>
    <w:rsid w:val="006644B2"/>
    <w:rsid w:val="006773BC"/>
    <w:rsid w:val="00682AEA"/>
    <w:rsid w:val="00693590"/>
    <w:rsid w:val="00695228"/>
    <w:rsid w:val="006A01B9"/>
    <w:rsid w:val="006A49B8"/>
    <w:rsid w:val="006A6920"/>
    <w:rsid w:val="006A7148"/>
    <w:rsid w:val="006B4636"/>
    <w:rsid w:val="006C1BE7"/>
    <w:rsid w:val="006D0685"/>
    <w:rsid w:val="006E156E"/>
    <w:rsid w:val="006E4C2D"/>
    <w:rsid w:val="006E551E"/>
    <w:rsid w:val="006F1931"/>
    <w:rsid w:val="006F4ADE"/>
    <w:rsid w:val="0070352F"/>
    <w:rsid w:val="00712BDB"/>
    <w:rsid w:val="00715A68"/>
    <w:rsid w:val="00742CF7"/>
    <w:rsid w:val="0074778A"/>
    <w:rsid w:val="00750FE7"/>
    <w:rsid w:val="00762F85"/>
    <w:rsid w:val="00770225"/>
    <w:rsid w:val="007803FA"/>
    <w:rsid w:val="00784999"/>
    <w:rsid w:val="007B48EF"/>
    <w:rsid w:val="007C0CD2"/>
    <w:rsid w:val="007C6514"/>
    <w:rsid w:val="007D1DD6"/>
    <w:rsid w:val="007D3DDD"/>
    <w:rsid w:val="007D492C"/>
    <w:rsid w:val="007D7B8A"/>
    <w:rsid w:val="007E1816"/>
    <w:rsid w:val="007E7D06"/>
    <w:rsid w:val="007F22FE"/>
    <w:rsid w:val="00801651"/>
    <w:rsid w:val="00813C10"/>
    <w:rsid w:val="0082191F"/>
    <w:rsid w:val="00827794"/>
    <w:rsid w:val="00834B85"/>
    <w:rsid w:val="0084082F"/>
    <w:rsid w:val="008579C1"/>
    <w:rsid w:val="00863534"/>
    <w:rsid w:val="00867F10"/>
    <w:rsid w:val="00877C3F"/>
    <w:rsid w:val="00881984"/>
    <w:rsid w:val="00881F98"/>
    <w:rsid w:val="00893B4A"/>
    <w:rsid w:val="008B25C6"/>
    <w:rsid w:val="008B4491"/>
    <w:rsid w:val="008B47BB"/>
    <w:rsid w:val="008C070C"/>
    <w:rsid w:val="008C4B7D"/>
    <w:rsid w:val="008C7921"/>
    <w:rsid w:val="008D365B"/>
    <w:rsid w:val="008D653E"/>
    <w:rsid w:val="008D76CB"/>
    <w:rsid w:val="008F5C0C"/>
    <w:rsid w:val="008F770F"/>
    <w:rsid w:val="009165B6"/>
    <w:rsid w:val="00923F2A"/>
    <w:rsid w:val="00924F14"/>
    <w:rsid w:val="00925513"/>
    <w:rsid w:val="00925A00"/>
    <w:rsid w:val="00927ED8"/>
    <w:rsid w:val="00931235"/>
    <w:rsid w:val="009321BF"/>
    <w:rsid w:val="00943F23"/>
    <w:rsid w:val="00944477"/>
    <w:rsid w:val="00946D48"/>
    <w:rsid w:val="0097519C"/>
    <w:rsid w:val="00982353"/>
    <w:rsid w:val="0098363D"/>
    <w:rsid w:val="0099047D"/>
    <w:rsid w:val="00993ABA"/>
    <w:rsid w:val="00996477"/>
    <w:rsid w:val="009A16E6"/>
    <w:rsid w:val="009C4C05"/>
    <w:rsid w:val="009E2DFF"/>
    <w:rsid w:val="009E79CA"/>
    <w:rsid w:val="00A136F9"/>
    <w:rsid w:val="00A55E25"/>
    <w:rsid w:val="00A60CE1"/>
    <w:rsid w:val="00A63F93"/>
    <w:rsid w:val="00A72C9D"/>
    <w:rsid w:val="00A7431B"/>
    <w:rsid w:val="00A77B89"/>
    <w:rsid w:val="00A81F3B"/>
    <w:rsid w:val="00A837CF"/>
    <w:rsid w:val="00A87ADC"/>
    <w:rsid w:val="00A902D2"/>
    <w:rsid w:val="00A9068A"/>
    <w:rsid w:val="00AA126C"/>
    <w:rsid w:val="00AA39DC"/>
    <w:rsid w:val="00AA7C62"/>
    <w:rsid w:val="00AB6705"/>
    <w:rsid w:val="00AC13D8"/>
    <w:rsid w:val="00AD059D"/>
    <w:rsid w:val="00AE0654"/>
    <w:rsid w:val="00AF7FD7"/>
    <w:rsid w:val="00B073D5"/>
    <w:rsid w:val="00B14A97"/>
    <w:rsid w:val="00B21C7D"/>
    <w:rsid w:val="00B2223F"/>
    <w:rsid w:val="00B24DBB"/>
    <w:rsid w:val="00B2577F"/>
    <w:rsid w:val="00B26587"/>
    <w:rsid w:val="00B31D0C"/>
    <w:rsid w:val="00B3286E"/>
    <w:rsid w:val="00B33861"/>
    <w:rsid w:val="00B43564"/>
    <w:rsid w:val="00B6468E"/>
    <w:rsid w:val="00B65F20"/>
    <w:rsid w:val="00B70231"/>
    <w:rsid w:val="00B77784"/>
    <w:rsid w:val="00B87956"/>
    <w:rsid w:val="00BA7400"/>
    <w:rsid w:val="00BC24C2"/>
    <w:rsid w:val="00BE4AB0"/>
    <w:rsid w:val="00BE55D0"/>
    <w:rsid w:val="00BF5E2E"/>
    <w:rsid w:val="00C24A28"/>
    <w:rsid w:val="00C30821"/>
    <w:rsid w:val="00C315E1"/>
    <w:rsid w:val="00C358FC"/>
    <w:rsid w:val="00C508D3"/>
    <w:rsid w:val="00C57D09"/>
    <w:rsid w:val="00C67656"/>
    <w:rsid w:val="00C76896"/>
    <w:rsid w:val="00C92429"/>
    <w:rsid w:val="00C92C73"/>
    <w:rsid w:val="00CB18A0"/>
    <w:rsid w:val="00CB6C09"/>
    <w:rsid w:val="00CC0CCB"/>
    <w:rsid w:val="00CD0766"/>
    <w:rsid w:val="00CF3CB9"/>
    <w:rsid w:val="00D04190"/>
    <w:rsid w:val="00D045F9"/>
    <w:rsid w:val="00D05B64"/>
    <w:rsid w:val="00D2225E"/>
    <w:rsid w:val="00D44A1B"/>
    <w:rsid w:val="00D47A66"/>
    <w:rsid w:val="00D577BE"/>
    <w:rsid w:val="00D63E56"/>
    <w:rsid w:val="00D66246"/>
    <w:rsid w:val="00D77E24"/>
    <w:rsid w:val="00D90C62"/>
    <w:rsid w:val="00D973B4"/>
    <w:rsid w:val="00DA367C"/>
    <w:rsid w:val="00DA4D29"/>
    <w:rsid w:val="00DC1165"/>
    <w:rsid w:val="00DC326E"/>
    <w:rsid w:val="00DD5B1A"/>
    <w:rsid w:val="00E04210"/>
    <w:rsid w:val="00E100C5"/>
    <w:rsid w:val="00E16DA0"/>
    <w:rsid w:val="00E20BA9"/>
    <w:rsid w:val="00E25A61"/>
    <w:rsid w:val="00E27DEB"/>
    <w:rsid w:val="00E32DC9"/>
    <w:rsid w:val="00E3478A"/>
    <w:rsid w:val="00E369B6"/>
    <w:rsid w:val="00E435C4"/>
    <w:rsid w:val="00E4573C"/>
    <w:rsid w:val="00E545AA"/>
    <w:rsid w:val="00E60C4A"/>
    <w:rsid w:val="00E655D0"/>
    <w:rsid w:val="00E72F10"/>
    <w:rsid w:val="00E75777"/>
    <w:rsid w:val="00E96DD6"/>
    <w:rsid w:val="00EA64A1"/>
    <w:rsid w:val="00EB3ED4"/>
    <w:rsid w:val="00EB5E18"/>
    <w:rsid w:val="00EE00EC"/>
    <w:rsid w:val="00EE5404"/>
    <w:rsid w:val="00EE6046"/>
    <w:rsid w:val="00EF1F28"/>
    <w:rsid w:val="00F0346B"/>
    <w:rsid w:val="00F07E60"/>
    <w:rsid w:val="00F2401D"/>
    <w:rsid w:val="00F250E7"/>
    <w:rsid w:val="00F25D79"/>
    <w:rsid w:val="00F26058"/>
    <w:rsid w:val="00F31BF9"/>
    <w:rsid w:val="00F354B7"/>
    <w:rsid w:val="00F52815"/>
    <w:rsid w:val="00F5285F"/>
    <w:rsid w:val="00F67059"/>
    <w:rsid w:val="00F7248B"/>
    <w:rsid w:val="00F750BC"/>
    <w:rsid w:val="00F97735"/>
    <w:rsid w:val="00FC7120"/>
    <w:rsid w:val="00FE4FA2"/>
    <w:rsid w:val="00FE7743"/>
    <w:rsid w:val="00FF4A3B"/>
    <w:rsid w:val="00FF73A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045"/>
    <w:pPr>
      <w:widowControl w:val="0"/>
      <w:spacing w:line="300" w:lineRule="auto"/>
      <w:jc w:val="both"/>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06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6D0685"/>
    <w:pPr>
      <w:tabs>
        <w:tab w:val="center" w:pos="4153"/>
        <w:tab w:val="right" w:pos="8306"/>
      </w:tabs>
      <w:snapToGrid w:val="0"/>
    </w:pPr>
    <w:rPr>
      <w:sz w:val="20"/>
      <w:szCs w:val="20"/>
    </w:rPr>
  </w:style>
  <w:style w:type="character" w:customStyle="1" w:styleId="a5">
    <w:name w:val="頁首 字元"/>
    <w:basedOn w:val="a0"/>
    <w:link w:val="a4"/>
    <w:uiPriority w:val="99"/>
    <w:rsid w:val="006D0685"/>
    <w:rPr>
      <w:sz w:val="20"/>
      <w:szCs w:val="20"/>
    </w:rPr>
  </w:style>
  <w:style w:type="paragraph" w:styleId="a6">
    <w:name w:val="footer"/>
    <w:basedOn w:val="a"/>
    <w:link w:val="a7"/>
    <w:uiPriority w:val="99"/>
    <w:unhideWhenUsed/>
    <w:rsid w:val="006D0685"/>
    <w:pPr>
      <w:tabs>
        <w:tab w:val="center" w:pos="4153"/>
        <w:tab w:val="right" w:pos="8306"/>
      </w:tabs>
      <w:snapToGrid w:val="0"/>
    </w:pPr>
    <w:rPr>
      <w:sz w:val="20"/>
      <w:szCs w:val="20"/>
    </w:rPr>
  </w:style>
  <w:style w:type="character" w:customStyle="1" w:styleId="a7">
    <w:name w:val="頁尾 字元"/>
    <w:basedOn w:val="a0"/>
    <w:link w:val="a6"/>
    <w:uiPriority w:val="99"/>
    <w:rsid w:val="006D0685"/>
    <w:rPr>
      <w:sz w:val="20"/>
      <w:szCs w:val="20"/>
    </w:rPr>
  </w:style>
  <w:style w:type="paragraph" w:styleId="HTML">
    <w:name w:val="HTML Preformatted"/>
    <w:basedOn w:val="a"/>
    <w:link w:val="HTML0"/>
    <w:uiPriority w:val="99"/>
    <w:unhideWhenUsed/>
    <w:rsid w:val="00090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細明體" w:eastAsia="細明體" w:hAnsi="細明體" w:cs="細明體"/>
      <w:color w:val="333333"/>
      <w:kern w:val="0"/>
      <w:szCs w:val="24"/>
    </w:rPr>
  </w:style>
  <w:style w:type="character" w:customStyle="1" w:styleId="HTML0">
    <w:name w:val="HTML 預設格式 字元"/>
    <w:basedOn w:val="a0"/>
    <w:link w:val="HTML"/>
    <w:uiPriority w:val="99"/>
    <w:rsid w:val="0009081B"/>
    <w:rPr>
      <w:rFonts w:ascii="細明體" w:eastAsia="細明體" w:hAnsi="細明體" w:cs="細明體"/>
      <w:color w:val="333333"/>
      <w:kern w:val="0"/>
      <w:szCs w:val="24"/>
    </w:rPr>
  </w:style>
  <w:style w:type="paragraph" w:styleId="a8">
    <w:name w:val="List Paragraph"/>
    <w:basedOn w:val="a"/>
    <w:uiPriority w:val="34"/>
    <w:qFormat/>
    <w:rsid w:val="00C92C73"/>
    <w:pPr>
      <w:ind w:leftChars="200" w:left="480"/>
    </w:pPr>
  </w:style>
  <w:style w:type="paragraph" w:styleId="a9">
    <w:name w:val="Balloon Text"/>
    <w:basedOn w:val="a"/>
    <w:semiHidden/>
    <w:rsid w:val="00FE7743"/>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153189055">
      <w:bodyDiv w:val="1"/>
      <w:marLeft w:val="0"/>
      <w:marRight w:val="0"/>
      <w:marTop w:val="0"/>
      <w:marBottom w:val="0"/>
      <w:divBdr>
        <w:top w:val="none" w:sz="0" w:space="0" w:color="auto"/>
        <w:left w:val="none" w:sz="0" w:space="0" w:color="auto"/>
        <w:bottom w:val="none" w:sz="0" w:space="0" w:color="auto"/>
        <w:right w:val="none" w:sz="0" w:space="0" w:color="auto"/>
      </w:divBdr>
    </w:div>
    <w:div w:id="289168616">
      <w:bodyDiv w:val="1"/>
      <w:marLeft w:val="0"/>
      <w:marRight w:val="0"/>
      <w:marTop w:val="0"/>
      <w:marBottom w:val="0"/>
      <w:divBdr>
        <w:top w:val="none" w:sz="0" w:space="0" w:color="auto"/>
        <w:left w:val="none" w:sz="0" w:space="0" w:color="auto"/>
        <w:bottom w:val="none" w:sz="0" w:space="0" w:color="auto"/>
        <w:right w:val="none" w:sz="0" w:space="0" w:color="auto"/>
      </w:divBdr>
    </w:div>
    <w:div w:id="313485431">
      <w:bodyDiv w:val="1"/>
      <w:marLeft w:val="0"/>
      <w:marRight w:val="0"/>
      <w:marTop w:val="0"/>
      <w:marBottom w:val="0"/>
      <w:divBdr>
        <w:top w:val="none" w:sz="0" w:space="0" w:color="auto"/>
        <w:left w:val="none" w:sz="0" w:space="0" w:color="auto"/>
        <w:bottom w:val="none" w:sz="0" w:space="0" w:color="auto"/>
        <w:right w:val="none" w:sz="0" w:space="0" w:color="auto"/>
      </w:divBdr>
    </w:div>
    <w:div w:id="810903582">
      <w:bodyDiv w:val="1"/>
      <w:marLeft w:val="0"/>
      <w:marRight w:val="0"/>
      <w:marTop w:val="0"/>
      <w:marBottom w:val="0"/>
      <w:divBdr>
        <w:top w:val="none" w:sz="0" w:space="0" w:color="auto"/>
        <w:left w:val="none" w:sz="0" w:space="0" w:color="auto"/>
        <w:bottom w:val="none" w:sz="0" w:space="0" w:color="auto"/>
        <w:right w:val="none" w:sz="0" w:space="0" w:color="auto"/>
      </w:divBdr>
    </w:div>
    <w:div w:id="834953693">
      <w:bodyDiv w:val="1"/>
      <w:marLeft w:val="0"/>
      <w:marRight w:val="0"/>
      <w:marTop w:val="0"/>
      <w:marBottom w:val="0"/>
      <w:divBdr>
        <w:top w:val="none" w:sz="0" w:space="0" w:color="auto"/>
        <w:left w:val="none" w:sz="0" w:space="0" w:color="auto"/>
        <w:bottom w:val="none" w:sz="0" w:space="0" w:color="auto"/>
        <w:right w:val="none" w:sz="0" w:space="0" w:color="auto"/>
      </w:divBdr>
    </w:div>
    <w:div w:id="852039980">
      <w:bodyDiv w:val="1"/>
      <w:marLeft w:val="0"/>
      <w:marRight w:val="0"/>
      <w:marTop w:val="0"/>
      <w:marBottom w:val="0"/>
      <w:divBdr>
        <w:top w:val="none" w:sz="0" w:space="0" w:color="auto"/>
        <w:left w:val="none" w:sz="0" w:space="0" w:color="auto"/>
        <w:bottom w:val="none" w:sz="0" w:space="0" w:color="auto"/>
        <w:right w:val="none" w:sz="0" w:space="0" w:color="auto"/>
      </w:divBdr>
    </w:div>
    <w:div w:id="936209205">
      <w:bodyDiv w:val="1"/>
      <w:marLeft w:val="0"/>
      <w:marRight w:val="0"/>
      <w:marTop w:val="0"/>
      <w:marBottom w:val="0"/>
      <w:divBdr>
        <w:top w:val="none" w:sz="0" w:space="0" w:color="auto"/>
        <w:left w:val="none" w:sz="0" w:space="0" w:color="auto"/>
        <w:bottom w:val="none" w:sz="0" w:space="0" w:color="auto"/>
        <w:right w:val="none" w:sz="0" w:space="0" w:color="auto"/>
      </w:divBdr>
    </w:div>
    <w:div w:id="1026369758">
      <w:bodyDiv w:val="1"/>
      <w:marLeft w:val="0"/>
      <w:marRight w:val="0"/>
      <w:marTop w:val="0"/>
      <w:marBottom w:val="0"/>
      <w:divBdr>
        <w:top w:val="none" w:sz="0" w:space="0" w:color="auto"/>
        <w:left w:val="none" w:sz="0" w:space="0" w:color="auto"/>
        <w:bottom w:val="none" w:sz="0" w:space="0" w:color="auto"/>
        <w:right w:val="none" w:sz="0" w:space="0" w:color="auto"/>
      </w:divBdr>
    </w:div>
    <w:div w:id="1093087512">
      <w:bodyDiv w:val="1"/>
      <w:marLeft w:val="0"/>
      <w:marRight w:val="0"/>
      <w:marTop w:val="0"/>
      <w:marBottom w:val="0"/>
      <w:divBdr>
        <w:top w:val="none" w:sz="0" w:space="0" w:color="auto"/>
        <w:left w:val="none" w:sz="0" w:space="0" w:color="auto"/>
        <w:bottom w:val="none" w:sz="0" w:space="0" w:color="auto"/>
        <w:right w:val="none" w:sz="0" w:space="0" w:color="auto"/>
      </w:divBdr>
    </w:div>
    <w:div w:id="1222710218">
      <w:bodyDiv w:val="1"/>
      <w:marLeft w:val="0"/>
      <w:marRight w:val="0"/>
      <w:marTop w:val="0"/>
      <w:marBottom w:val="0"/>
      <w:divBdr>
        <w:top w:val="none" w:sz="0" w:space="0" w:color="auto"/>
        <w:left w:val="none" w:sz="0" w:space="0" w:color="auto"/>
        <w:bottom w:val="none" w:sz="0" w:space="0" w:color="auto"/>
        <w:right w:val="none" w:sz="0" w:space="0" w:color="auto"/>
      </w:divBdr>
    </w:div>
    <w:div w:id="1422800668">
      <w:bodyDiv w:val="1"/>
      <w:marLeft w:val="0"/>
      <w:marRight w:val="0"/>
      <w:marTop w:val="0"/>
      <w:marBottom w:val="0"/>
      <w:divBdr>
        <w:top w:val="none" w:sz="0" w:space="0" w:color="auto"/>
        <w:left w:val="none" w:sz="0" w:space="0" w:color="auto"/>
        <w:bottom w:val="none" w:sz="0" w:space="0" w:color="auto"/>
        <w:right w:val="none" w:sz="0" w:space="0" w:color="auto"/>
      </w:divBdr>
    </w:div>
    <w:div w:id="1458908897">
      <w:bodyDiv w:val="1"/>
      <w:marLeft w:val="0"/>
      <w:marRight w:val="0"/>
      <w:marTop w:val="0"/>
      <w:marBottom w:val="0"/>
      <w:divBdr>
        <w:top w:val="none" w:sz="0" w:space="0" w:color="auto"/>
        <w:left w:val="none" w:sz="0" w:space="0" w:color="auto"/>
        <w:bottom w:val="none" w:sz="0" w:space="0" w:color="auto"/>
        <w:right w:val="none" w:sz="0" w:space="0" w:color="auto"/>
      </w:divBdr>
    </w:div>
    <w:div w:id="1732073432">
      <w:bodyDiv w:val="1"/>
      <w:marLeft w:val="0"/>
      <w:marRight w:val="0"/>
      <w:marTop w:val="0"/>
      <w:marBottom w:val="0"/>
      <w:divBdr>
        <w:top w:val="none" w:sz="0" w:space="0" w:color="auto"/>
        <w:left w:val="none" w:sz="0" w:space="0" w:color="auto"/>
        <w:bottom w:val="none" w:sz="0" w:space="0" w:color="auto"/>
        <w:right w:val="none" w:sz="0" w:space="0" w:color="auto"/>
      </w:divBdr>
    </w:div>
    <w:div w:id="1732733771">
      <w:bodyDiv w:val="1"/>
      <w:marLeft w:val="0"/>
      <w:marRight w:val="0"/>
      <w:marTop w:val="0"/>
      <w:marBottom w:val="0"/>
      <w:divBdr>
        <w:top w:val="none" w:sz="0" w:space="0" w:color="auto"/>
        <w:left w:val="none" w:sz="0" w:space="0" w:color="auto"/>
        <w:bottom w:val="none" w:sz="0" w:space="0" w:color="auto"/>
        <w:right w:val="none" w:sz="0" w:space="0" w:color="auto"/>
      </w:divBdr>
    </w:div>
    <w:div w:id="1805273679">
      <w:bodyDiv w:val="1"/>
      <w:marLeft w:val="0"/>
      <w:marRight w:val="0"/>
      <w:marTop w:val="0"/>
      <w:marBottom w:val="0"/>
      <w:divBdr>
        <w:top w:val="none" w:sz="0" w:space="0" w:color="auto"/>
        <w:left w:val="none" w:sz="0" w:space="0" w:color="auto"/>
        <w:bottom w:val="none" w:sz="0" w:space="0" w:color="auto"/>
        <w:right w:val="none" w:sz="0" w:space="0" w:color="auto"/>
      </w:divBdr>
    </w:div>
    <w:div w:id="1815830469">
      <w:bodyDiv w:val="1"/>
      <w:marLeft w:val="0"/>
      <w:marRight w:val="0"/>
      <w:marTop w:val="0"/>
      <w:marBottom w:val="0"/>
      <w:divBdr>
        <w:top w:val="none" w:sz="0" w:space="0" w:color="auto"/>
        <w:left w:val="none" w:sz="0" w:space="0" w:color="auto"/>
        <w:bottom w:val="none" w:sz="0" w:space="0" w:color="auto"/>
        <w:right w:val="none" w:sz="0" w:space="0" w:color="auto"/>
      </w:divBdr>
    </w:div>
    <w:div w:id="1920939440">
      <w:bodyDiv w:val="1"/>
      <w:marLeft w:val="0"/>
      <w:marRight w:val="0"/>
      <w:marTop w:val="0"/>
      <w:marBottom w:val="0"/>
      <w:divBdr>
        <w:top w:val="none" w:sz="0" w:space="0" w:color="auto"/>
        <w:left w:val="none" w:sz="0" w:space="0" w:color="auto"/>
        <w:bottom w:val="none" w:sz="0" w:space="0" w:color="auto"/>
        <w:right w:val="none" w:sz="0" w:space="0" w:color="auto"/>
      </w:divBdr>
    </w:div>
    <w:div w:id="1949578989">
      <w:bodyDiv w:val="1"/>
      <w:marLeft w:val="0"/>
      <w:marRight w:val="0"/>
      <w:marTop w:val="0"/>
      <w:marBottom w:val="0"/>
      <w:divBdr>
        <w:top w:val="none" w:sz="0" w:space="0" w:color="auto"/>
        <w:left w:val="none" w:sz="0" w:space="0" w:color="auto"/>
        <w:bottom w:val="none" w:sz="0" w:space="0" w:color="auto"/>
        <w:right w:val="none" w:sz="0" w:space="0" w:color="auto"/>
      </w:divBdr>
    </w:div>
    <w:div w:id="203090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財團法人中華民國證券櫃檯買賣中心證券商營業處所買賣有價證券業務規則</dc:title>
  <dc:creator>LENOVO USER</dc:creator>
  <cp:lastModifiedBy>1157</cp:lastModifiedBy>
  <cp:revision>6</cp:revision>
  <cp:lastPrinted>2013-12-31T06:17:00Z</cp:lastPrinted>
  <dcterms:created xsi:type="dcterms:W3CDTF">2013-12-31T06:16:00Z</dcterms:created>
  <dcterms:modified xsi:type="dcterms:W3CDTF">2013-12-31T07:36:00Z</dcterms:modified>
</cp:coreProperties>
</file>